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40" w:lineRule="exact"/>
        <w:ind w:firstLine="723" w:firstLineChars="200"/>
        <w:jc w:val="center"/>
        <w:textAlignment w:val="auto"/>
        <w:rPr>
          <w:rFonts w:hint="default" w:ascii="Times New Roman" w:hAnsi="Times New Roman" w:eastAsia="仿宋_GB2312" w:cs="Times New Roman"/>
          <w:b/>
          <w:bCs/>
          <w:sz w:val="36"/>
          <w:szCs w:val="36"/>
        </w:rPr>
      </w:pPr>
      <w:r>
        <w:rPr>
          <w:rFonts w:hint="default" w:ascii="Times New Roman" w:hAnsi="Times New Roman" w:eastAsia="仿宋_GB2312" w:cs="Times New Roman"/>
          <w:b/>
          <w:bCs/>
          <w:sz w:val="36"/>
          <w:szCs w:val="36"/>
        </w:rPr>
        <w:t>2024年第二季度县级财政农业保险补贴（水稻）</w:t>
      </w:r>
    </w:p>
    <w:p>
      <w:pPr>
        <w:keepNext w:val="0"/>
        <w:keepLines w:val="0"/>
        <w:pageBreakBefore w:val="0"/>
        <w:kinsoku/>
        <w:wordWrap/>
        <w:overflowPunct/>
        <w:topLinePunct w:val="0"/>
        <w:autoSpaceDE/>
        <w:autoSpaceDN/>
        <w:bidi w:val="0"/>
        <w:adjustRightInd/>
        <w:snapToGrid/>
        <w:spacing w:line="540" w:lineRule="exact"/>
        <w:ind w:firstLine="723" w:firstLineChars="200"/>
        <w:jc w:val="center"/>
        <w:textAlignment w:val="auto"/>
        <w:rPr>
          <w:rFonts w:hint="default" w:ascii="Times New Roman" w:hAnsi="Times New Roman" w:eastAsia="方正小标宋简体" w:cs="Times New Roman"/>
          <w:sz w:val="36"/>
          <w:szCs w:val="36"/>
        </w:rPr>
      </w:pPr>
      <w:r>
        <w:rPr>
          <w:rFonts w:hint="default" w:ascii="Times New Roman" w:hAnsi="Times New Roman" w:eastAsia="仿宋_GB2312" w:cs="Times New Roman"/>
          <w:b/>
          <w:bCs/>
          <w:sz w:val="36"/>
          <w:szCs w:val="36"/>
        </w:rPr>
        <w:t>项目支出</w:t>
      </w:r>
      <w:r>
        <w:rPr>
          <w:rFonts w:hint="eastAsia" w:ascii="Times New Roman" w:hAnsi="Times New Roman" w:eastAsia="仿宋_GB2312" w:cs="Times New Roman"/>
          <w:b/>
          <w:bCs/>
          <w:sz w:val="36"/>
          <w:szCs w:val="36"/>
          <w:lang w:eastAsia="zh-CN"/>
        </w:rPr>
        <w:t>绩效自评</w:t>
      </w:r>
      <w:r>
        <w:rPr>
          <w:rFonts w:hint="default" w:ascii="Times New Roman" w:hAnsi="Times New Roman" w:eastAsia="仿宋_GB2312" w:cs="Times New Roman"/>
          <w:b/>
          <w:bCs/>
          <w:sz w:val="36"/>
          <w:szCs w:val="36"/>
        </w:rPr>
        <w:t>报告</w:t>
      </w:r>
    </w:p>
    <w:p>
      <w:pPr>
        <w:jc w:val="center"/>
        <w:rPr>
          <w:rFonts w:hint="default" w:ascii="Times New Roman" w:hAnsi="Times New Roman" w:eastAsia="方正小标宋简体" w:cs="Times New Roman"/>
          <w:sz w:val="36"/>
          <w:szCs w:val="36"/>
        </w:rPr>
      </w:pP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eastAsia" w:ascii="仿宋_GB2312" w:hAnsi="仿宋_GB2312" w:eastAsia="仿宋_GB2312" w:cs="仿宋_GB2312"/>
          <w:sz w:val="32"/>
          <w:szCs w:val="32"/>
          <w:lang w:val="en-US" w:eastAsia="zh-CN"/>
        </w:rPr>
        <w:t>根据《中共中央 国务院关于全面实施预算绩效管理的意见》（中发【2018】34号）、《中共湖南省委办公厅 湖南省人民政府办公厅关于全面实施预算绩效管理的实施意见》（湘办发〔2019〕10号）和</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lang w:val="en-US" w:eastAsia="zh-CN"/>
        </w:rPr>
        <w:t>江华瑶族自治县财政局</w:t>
      </w:r>
      <w:r>
        <w:rPr>
          <w:rFonts w:hint="eastAsia" w:ascii="仿宋_GB2312" w:hAnsi="仿宋_GB2312" w:eastAsia="仿宋_GB2312" w:cs="仿宋_GB2312"/>
          <w:b w:val="0"/>
          <w:bCs/>
          <w:sz w:val="32"/>
          <w:szCs w:val="32"/>
        </w:rPr>
        <w:t>关于</w:t>
      </w:r>
      <w:r>
        <w:rPr>
          <w:rFonts w:hint="eastAsia" w:ascii="仿宋_GB2312" w:hAnsi="仿宋_GB2312" w:eastAsia="仿宋_GB2312" w:cs="仿宋_GB2312"/>
          <w:b w:val="0"/>
          <w:bCs/>
          <w:sz w:val="32"/>
          <w:szCs w:val="32"/>
          <w:lang w:val="en-US" w:eastAsia="zh-CN"/>
        </w:rPr>
        <w:t>开展</w:t>
      </w:r>
      <w:r>
        <w:rPr>
          <w:rFonts w:hint="eastAsia" w:ascii="仿宋_GB2312" w:hAnsi="仿宋_GB2312" w:eastAsia="仿宋_GB2312" w:cs="仿宋_GB2312"/>
          <w:b w:val="0"/>
          <w:bCs/>
          <w:sz w:val="32"/>
          <w:szCs w:val="32"/>
          <w:lang w:eastAsia="zh-CN"/>
        </w:rPr>
        <w:t>202</w:t>
      </w:r>
      <w:r>
        <w:rPr>
          <w:rFonts w:hint="eastAsia" w:ascii="仿宋_GB2312" w:hAnsi="仿宋_GB2312" w:eastAsia="仿宋_GB2312" w:cs="仿宋_GB2312"/>
          <w:b w:val="0"/>
          <w:bCs/>
          <w:sz w:val="32"/>
          <w:szCs w:val="32"/>
          <w:lang w:val="en-US" w:eastAsia="zh-CN"/>
        </w:rPr>
        <w:t>4</w:t>
      </w:r>
      <w:r>
        <w:rPr>
          <w:rFonts w:hint="eastAsia" w:ascii="仿宋_GB2312" w:hAnsi="仿宋_GB2312" w:eastAsia="仿宋_GB2312" w:cs="仿宋_GB2312"/>
          <w:b w:val="0"/>
          <w:bCs/>
          <w:sz w:val="32"/>
          <w:szCs w:val="32"/>
          <w:lang w:eastAsia="zh-CN"/>
        </w:rPr>
        <w:t>年</w:t>
      </w:r>
      <w:r>
        <w:rPr>
          <w:rFonts w:hint="eastAsia" w:ascii="仿宋_GB2312" w:hAnsi="仿宋_GB2312" w:eastAsia="仿宋_GB2312" w:cs="仿宋_GB2312"/>
          <w:b w:val="0"/>
          <w:bCs/>
          <w:sz w:val="32"/>
          <w:szCs w:val="32"/>
        </w:rPr>
        <w:t>度</w:t>
      </w:r>
      <w:r>
        <w:rPr>
          <w:rFonts w:hint="eastAsia" w:ascii="仿宋_GB2312" w:hAnsi="仿宋_GB2312" w:eastAsia="仿宋_GB2312" w:cs="仿宋_GB2312"/>
          <w:b w:val="0"/>
          <w:bCs/>
          <w:sz w:val="32"/>
          <w:szCs w:val="32"/>
          <w:lang w:val="en-US" w:eastAsia="zh-CN"/>
        </w:rPr>
        <w:t>财政</w:t>
      </w:r>
      <w:r>
        <w:rPr>
          <w:rFonts w:hint="eastAsia" w:ascii="仿宋_GB2312" w:hAnsi="仿宋_GB2312" w:eastAsia="仿宋_GB2312" w:cs="仿宋_GB2312"/>
          <w:b w:val="0"/>
          <w:bCs/>
          <w:sz w:val="32"/>
          <w:szCs w:val="32"/>
        </w:rPr>
        <w:t>支出绩效</w:t>
      </w:r>
      <w:r>
        <w:rPr>
          <w:rFonts w:hint="eastAsia" w:ascii="仿宋_GB2312" w:hAnsi="仿宋_GB2312" w:eastAsia="仿宋_GB2312" w:cs="仿宋_GB2312"/>
          <w:b w:val="0"/>
          <w:bCs/>
          <w:sz w:val="32"/>
          <w:szCs w:val="32"/>
          <w:lang w:eastAsia="zh-CN"/>
        </w:rPr>
        <w:t>自评</w:t>
      </w:r>
      <w:r>
        <w:rPr>
          <w:rFonts w:hint="eastAsia" w:ascii="仿宋_GB2312" w:hAnsi="仿宋_GB2312" w:eastAsia="仿宋_GB2312" w:cs="仿宋_GB2312"/>
          <w:b w:val="0"/>
          <w:bCs/>
          <w:sz w:val="32"/>
          <w:szCs w:val="32"/>
        </w:rPr>
        <w:t>工作的通知</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sz w:val="32"/>
          <w:szCs w:val="32"/>
          <w:lang w:val="en-US" w:eastAsia="zh-CN"/>
        </w:rPr>
        <w:t>等文件精神</w:t>
      </w:r>
      <w:r>
        <w:rPr>
          <w:rFonts w:hint="default" w:ascii="Times New Roman" w:hAnsi="Times New Roman" w:eastAsia="仿宋_GB2312" w:cs="Times New Roman"/>
          <w:sz w:val="32"/>
          <w:szCs w:val="32"/>
        </w:rPr>
        <w:t>“谁支出谁负责”的原则，我局及时进行布置，并组织我局财务、有关业务股室人员对我局专项资金的预算执行进度和绩效目标实现进度开展监督和控制，现将运行监控情况报告如下：</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一、项目支出基本情况</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rPr>
        <w:t>根据湖南省财政厅关于下达 2024年农业保险保费补贴省级资金的通知（湘财预【2024】</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2号）（水稻、油菜、玉米、大豆省级配套补贴）文件精神，</w:t>
      </w: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eastAsia="zh-CN"/>
        </w:rPr>
        <w:t>年度县财政局安排我局</w:t>
      </w:r>
      <w:r>
        <w:rPr>
          <w:rFonts w:hint="default" w:ascii="Times New Roman" w:hAnsi="Times New Roman" w:eastAsia="仿宋_GB2312" w:cs="Times New Roman"/>
          <w:sz w:val="32"/>
          <w:szCs w:val="32"/>
        </w:rPr>
        <w:t>农业保险保费补贴省级资金</w:t>
      </w:r>
      <w:r>
        <w:rPr>
          <w:rFonts w:hint="default" w:ascii="Times New Roman" w:hAnsi="Times New Roman" w:eastAsia="仿宋_GB2312" w:cs="Times New Roman"/>
          <w:sz w:val="32"/>
          <w:szCs w:val="32"/>
          <w:lang w:val="en-US" w:eastAsia="zh-CN"/>
        </w:rPr>
        <w:t>298.92万元</w:t>
      </w:r>
      <w:r>
        <w:rPr>
          <w:rFonts w:hint="default" w:ascii="Times New Roman" w:hAnsi="Times New Roman" w:eastAsia="仿宋_GB2312" w:cs="Times New Roman"/>
          <w:sz w:val="32"/>
          <w:szCs w:val="32"/>
          <w:lang w:eastAsia="zh-CN"/>
        </w:rPr>
        <w:t>。</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000000"/>
          <w:kern w:val="0"/>
          <w:sz w:val="32"/>
          <w:szCs w:val="32"/>
          <w:shd w:val="clear" w:color="auto" w:fill="FFFFFF"/>
          <w:lang w:val="en-US" w:eastAsia="zh-CN"/>
        </w:rPr>
      </w:pPr>
      <w:r>
        <w:rPr>
          <w:rFonts w:hint="default" w:ascii="Times New Roman" w:hAnsi="Times New Roman" w:eastAsia="仿宋_GB2312" w:cs="Times New Roman"/>
          <w:sz w:val="32"/>
          <w:szCs w:val="32"/>
          <w:lang w:eastAsia="zh-CN"/>
        </w:rPr>
        <w:t>全县</w:t>
      </w:r>
      <w:r>
        <w:rPr>
          <w:rFonts w:hint="default" w:ascii="Times New Roman" w:hAnsi="Times New Roman" w:eastAsia="仿宋_GB2312" w:cs="Times New Roman"/>
          <w:sz w:val="32"/>
          <w:szCs w:val="32"/>
        </w:rPr>
        <w:t>农业保险保费补贴</w:t>
      </w:r>
      <w:r>
        <w:rPr>
          <w:rFonts w:hint="default" w:ascii="Times New Roman" w:hAnsi="Times New Roman" w:eastAsia="仿宋_GB2312" w:cs="Times New Roman"/>
          <w:sz w:val="32"/>
          <w:szCs w:val="32"/>
          <w:lang w:val="en-US" w:eastAsia="zh-CN"/>
        </w:rPr>
        <w:t>项目根据各乡镇申报，对3家具有农业保险业务经营资质的保险公司发放</w:t>
      </w:r>
      <w:r>
        <w:rPr>
          <w:rFonts w:hint="default" w:ascii="Times New Roman" w:hAnsi="Times New Roman" w:eastAsia="仿宋_GB2312" w:cs="Times New Roman"/>
          <w:sz w:val="32"/>
          <w:szCs w:val="32"/>
        </w:rPr>
        <w:t>农业保险保费补贴</w:t>
      </w:r>
      <w:r>
        <w:rPr>
          <w:rFonts w:hint="default" w:ascii="Times New Roman" w:hAnsi="Times New Roman" w:eastAsia="仿宋_GB2312" w:cs="Times New Roman"/>
          <w:sz w:val="32"/>
          <w:szCs w:val="32"/>
          <w:lang w:val="en-US" w:eastAsia="zh-CN"/>
        </w:rPr>
        <w:t>161.2万元，分别是：中国平安财产保险股份有限公司永州中心支公司17885.13元，中华联合财产保险股份有限公司永州中心支公司397350元，中国人民财产保险股份有限公司永州市分公司1196804.7元。项目的开展为全县</w:t>
      </w:r>
      <w:r>
        <w:rPr>
          <w:rFonts w:hint="default" w:ascii="Times New Roman" w:hAnsi="Times New Roman" w:eastAsia="仿宋_GB2312" w:cs="Times New Roman"/>
          <w:sz w:val="32"/>
          <w:szCs w:val="32"/>
        </w:rPr>
        <w:t>水稻、油菜、玉米、大豆</w:t>
      </w:r>
      <w:r>
        <w:rPr>
          <w:rFonts w:hint="default" w:ascii="Times New Roman" w:hAnsi="Times New Roman" w:eastAsia="仿宋_GB2312" w:cs="Times New Roman"/>
          <w:sz w:val="32"/>
          <w:szCs w:val="32"/>
          <w:lang w:val="en-US" w:eastAsia="zh-CN"/>
        </w:rPr>
        <w:t>农业生产提供保障，并减少农业灾害损失，促进生产集约化。</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二、绩效工作开展情况</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县</w:t>
      </w:r>
      <w:r>
        <w:rPr>
          <w:rFonts w:hint="default" w:ascii="Times New Roman" w:hAnsi="Times New Roman" w:eastAsia="仿宋_GB2312" w:cs="Times New Roman"/>
          <w:sz w:val="32"/>
          <w:szCs w:val="32"/>
          <w:lang w:eastAsia="zh-CN"/>
        </w:rPr>
        <w:t>农业农村</w:t>
      </w:r>
      <w:r>
        <w:rPr>
          <w:rFonts w:hint="default" w:ascii="Times New Roman" w:hAnsi="Times New Roman" w:eastAsia="仿宋_GB2312" w:cs="Times New Roman"/>
          <w:sz w:val="32"/>
          <w:szCs w:val="32"/>
        </w:rPr>
        <w:t>局财务股明确绩效运行监控任务分工、工作步骤、审核重点及工作要求，协调组织相关业务股室对各自承担的项目支出开展预算绩效运行监控工作，按照“谁支出，谁负责”的原则，对预算资金绩效目标实现程度、项目实施进度、资金支出进度等进行阶段性跟踪管理和监督检查，在收集产出指标的执行值、效益指标和满意度指标的实现程度、预算执行单位实际支出情况等信息的基础上，分析填报《项目支出绩效目标执行监控表》，提交绩效运行报告。</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三、绩效运行情况</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（一）项目支出预算执行情况</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按照年初预算绩效目标设定，截</w:t>
      </w:r>
      <w:r>
        <w:rPr>
          <w:rFonts w:hint="default" w:ascii="Times New Roman" w:hAnsi="Times New Roman" w:eastAsia="仿宋_GB2312" w:cs="Times New Roman"/>
          <w:sz w:val="32"/>
          <w:szCs w:val="32"/>
          <w:lang w:eastAsia="zh-CN"/>
        </w:rPr>
        <w:t>至</w:t>
      </w:r>
      <w:r>
        <w:rPr>
          <w:rFonts w:hint="default" w:ascii="Times New Roman" w:hAnsi="Times New Roman" w:eastAsia="仿宋_GB2312" w:cs="Times New Roman"/>
          <w:sz w:val="32"/>
          <w:szCs w:val="32"/>
          <w:lang w:val="en-US" w:eastAsia="zh-CN"/>
        </w:rPr>
        <w:t>9</w:t>
      </w:r>
      <w:bookmarkStart w:id="0" w:name="_GoBack"/>
      <w:bookmarkEnd w:id="0"/>
      <w:r>
        <w:rPr>
          <w:rFonts w:hint="default" w:ascii="Times New Roman" w:hAnsi="Times New Roman" w:eastAsia="仿宋_GB2312" w:cs="Times New Roman"/>
          <w:sz w:val="32"/>
          <w:szCs w:val="32"/>
        </w:rPr>
        <w:t>月30日，</w:t>
      </w:r>
      <w:r>
        <w:rPr>
          <w:rFonts w:hint="default" w:ascii="Times New Roman" w:hAnsi="Times New Roman" w:eastAsia="仿宋_GB2312" w:cs="Times New Roman"/>
          <w:sz w:val="32"/>
          <w:szCs w:val="32"/>
          <w:lang w:eastAsia="zh-CN"/>
        </w:rPr>
        <w:t>我局</w:t>
      </w:r>
      <w:r>
        <w:rPr>
          <w:rFonts w:hint="default" w:ascii="Times New Roman" w:hAnsi="Times New Roman" w:eastAsia="仿宋_GB2312" w:cs="Times New Roman"/>
          <w:sz w:val="32"/>
          <w:szCs w:val="32"/>
        </w:rPr>
        <w:t>农业保险保费补贴省级资金支</w:t>
      </w:r>
      <w:r>
        <w:rPr>
          <w:rFonts w:hint="default" w:ascii="Times New Roman" w:hAnsi="Times New Roman" w:eastAsia="仿宋_GB2312" w:cs="Times New Roman"/>
          <w:sz w:val="32"/>
          <w:szCs w:val="32"/>
          <w:highlight w:val="none"/>
        </w:rPr>
        <w:t>出</w:t>
      </w:r>
      <w:r>
        <w:rPr>
          <w:rFonts w:hint="default" w:ascii="Times New Roman" w:hAnsi="Times New Roman" w:eastAsia="仿宋_GB2312" w:cs="Times New Roman"/>
          <w:sz w:val="32"/>
          <w:szCs w:val="32"/>
          <w:highlight w:val="none"/>
          <w:lang w:val="en-US" w:eastAsia="zh-CN"/>
        </w:rPr>
        <w:t>161.2</w:t>
      </w:r>
      <w:r>
        <w:rPr>
          <w:rFonts w:hint="default" w:ascii="Times New Roman" w:hAnsi="Times New Roman" w:eastAsia="仿宋_GB2312" w:cs="Times New Roman"/>
          <w:sz w:val="32"/>
          <w:szCs w:val="32"/>
          <w:highlight w:val="none"/>
        </w:rPr>
        <w:t>万</w:t>
      </w:r>
      <w:r>
        <w:rPr>
          <w:rFonts w:hint="default" w:ascii="Times New Roman" w:hAnsi="Times New Roman" w:eastAsia="仿宋_GB2312" w:cs="Times New Roman"/>
          <w:sz w:val="32"/>
          <w:szCs w:val="32"/>
        </w:rPr>
        <w:t>元，资金支出进度</w:t>
      </w:r>
      <w:r>
        <w:rPr>
          <w:rFonts w:hint="default" w:ascii="Times New Roman" w:hAnsi="Times New Roman" w:eastAsia="仿宋_GB2312" w:cs="Times New Roman"/>
          <w:sz w:val="32"/>
          <w:szCs w:val="32"/>
          <w:lang w:val="en-US" w:eastAsia="zh-CN"/>
        </w:rPr>
        <w:t>54</w:t>
      </w:r>
      <w:r>
        <w:rPr>
          <w:rFonts w:hint="default" w:ascii="Times New Roman" w:hAnsi="Times New Roman" w:eastAsia="仿宋_GB2312" w:cs="Times New Roman"/>
          <w:sz w:val="32"/>
          <w:szCs w:val="32"/>
        </w:rPr>
        <w:t>%。</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（二）项目支出绩效目标完成情况</w:t>
      </w:r>
    </w:p>
    <w:p>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105" w:afterAutospacing="0" w:line="540" w:lineRule="exact"/>
        <w:ind w:right="0" w:rightChars="0" w:firstLine="640" w:firstLineChars="200"/>
        <w:jc w:val="left"/>
        <w:textAlignment w:val="auto"/>
        <w:rPr>
          <w:rFonts w:hint="default" w:ascii="Times New Roman" w:hAnsi="Times New Roman" w:eastAsia="仿宋_GB2312" w:cs="Times New Roman"/>
          <w:color w:val="000000"/>
          <w:kern w:val="0"/>
          <w:sz w:val="32"/>
          <w:szCs w:val="32"/>
          <w:shd w:val="clear" w:color="auto" w:fill="FFFFFF"/>
          <w:lang w:val="en-US" w:eastAsia="zh-CN"/>
        </w:rPr>
      </w:pPr>
      <w:r>
        <w:rPr>
          <w:rFonts w:hint="default" w:ascii="Times New Roman" w:hAnsi="Times New Roman" w:eastAsia="仿宋_GB2312" w:cs="Times New Roman"/>
          <w:sz w:val="32"/>
          <w:szCs w:val="32"/>
          <w:lang w:val="en-US" w:eastAsia="zh-CN"/>
        </w:rPr>
        <w:t>我局2024</w:t>
      </w:r>
      <w:r>
        <w:rPr>
          <w:rFonts w:hint="default" w:ascii="Times New Roman" w:hAnsi="Times New Roman" w:eastAsia="仿宋_GB2312" w:cs="Times New Roman"/>
          <w:sz w:val="32"/>
          <w:szCs w:val="32"/>
          <w:highlight w:val="none"/>
          <w:lang w:val="en-US" w:eastAsia="zh-CN"/>
        </w:rPr>
        <w:t>年</w:t>
      </w:r>
      <w:r>
        <w:rPr>
          <w:rFonts w:hint="default" w:ascii="Times New Roman" w:hAnsi="Times New Roman" w:eastAsia="仿宋_GB2312" w:cs="Times New Roman"/>
          <w:sz w:val="32"/>
          <w:szCs w:val="32"/>
          <w:highlight w:val="none"/>
        </w:rPr>
        <w:t>农业保险保费</w:t>
      </w:r>
      <w:r>
        <w:rPr>
          <w:rFonts w:hint="default" w:ascii="Times New Roman" w:hAnsi="Times New Roman" w:eastAsia="仿宋_GB2312" w:cs="Times New Roman"/>
          <w:sz w:val="32"/>
          <w:szCs w:val="32"/>
          <w:highlight w:val="none"/>
          <w:lang w:eastAsia="zh-CN"/>
        </w:rPr>
        <w:t>省级</w:t>
      </w:r>
      <w:r>
        <w:rPr>
          <w:rFonts w:hint="default" w:ascii="Times New Roman" w:hAnsi="Times New Roman" w:eastAsia="仿宋_GB2312" w:cs="Times New Roman"/>
          <w:sz w:val="32"/>
          <w:szCs w:val="32"/>
          <w:highlight w:val="none"/>
        </w:rPr>
        <w:t>补贴</w:t>
      </w:r>
      <w:r>
        <w:rPr>
          <w:rFonts w:hint="default" w:ascii="Times New Roman" w:hAnsi="Times New Roman" w:eastAsia="仿宋_GB2312" w:cs="Times New Roman"/>
          <w:sz w:val="32"/>
          <w:szCs w:val="32"/>
          <w:highlight w:val="none"/>
          <w:lang w:eastAsia="zh-CN"/>
        </w:rPr>
        <w:t>项目绩效</w:t>
      </w:r>
      <w:r>
        <w:rPr>
          <w:rFonts w:hint="default" w:ascii="Times New Roman" w:hAnsi="Times New Roman" w:eastAsia="仿宋_GB2312" w:cs="Times New Roman"/>
          <w:sz w:val="32"/>
          <w:szCs w:val="32"/>
          <w:lang w:eastAsia="zh-CN"/>
        </w:rPr>
        <w:t>目标完成：</w:t>
      </w:r>
      <w:r>
        <w:rPr>
          <w:rFonts w:hint="default" w:ascii="Times New Roman" w:hAnsi="Times New Roman" w:eastAsia="仿宋_GB2312" w:cs="Times New Roman"/>
          <w:sz w:val="32"/>
          <w:szCs w:val="32"/>
          <w:lang w:val="en-US" w:eastAsia="zh-CN"/>
        </w:rPr>
        <w:t>对3家具有农业保险业务经营资质的保险公司发放</w:t>
      </w:r>
      <w:r>
        <w:rPr>
          <w:rFonts w:hint="default" w:ascii="Times New Roman" w:hAnsi="Times New Roman" w:eastAsia="仿宋_GB2312" w:cs="Times New Roman"/>
          <w:sz w:val="32"/>
          <w:szCs w:val="32"/>
        </w:rPr>
        <w:t>农业保险保费补贴</w:t>
      </w:r>
      <w:r>
        <w:rPr>
          <w:rFonts w:hint="default" w:ascii="Times New Roman" w:hAnsi="Times New Roman" w:eastAsia="仿宋_GB2312" w:cs="Times New Roman"/>
          <w:sz w:val="32"/>
          <w:szCs w:val="32"/>
          <w:lang w:val="en-US" w:eastAsia="zh-CN"/>
        </w:rPr>
        <w:t>161.2万元，分别为中国平安财产保险股份有限公司永州中心支公司17885.13元，中华联合财产保险股份有限公司永州中心支公司397350元，中国人民财产保险股份有限公司永州市分公司1196804.7元</w:t>
      </w:r>
      <w:r>
        <w:rPr>
          <w:rFonts w:hint="default" w:ascii="Times New Roman" w:hAnsi="Times New Roman" w:eastAsia="仿宋_GB2312" w:cs="Times New Roman"/>
          <w:color w:val="000000"/>
          <w:kern w:val="0"/>
          <w:sz w:val="32"/>
          <w:szCs w:val="32"/>
          <w:shd w:val="clear" w:color="auto" w:fill="FFFFFF"/>
          <w:lang w:val="en-US" w:eastAsia="zh-CN"/>
        </w:rPr>
        <w:t>。</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四、存在问题及其原因</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i w:val="0"/>
          <w:caps w:val="0"/>
          <w:color w:val="auto"/>
          <w:spacing w:val="0"/>
          <w:sz w:val="32"/>
          <w:szCs w:val="32"/>
          <w:shd w:val="clear" w:color="auto" w:fill="FFFFFF"/>
          <w:lang w:eastAsia="zh-CN"/>
        </w:rPr>
        <w:t>项目正常执行，在实施和运行过程中未发现问题，</w:t>
      </w:r>
      <w:r>
        <w:rPr>
          <w:rFonts w:hint="default" w:ascii="Times New Roman" w:hAnsi="Times New Roman" w:eastAsia="仿宋_GB2312" w:cs="Times New Roman"/>
          <w:sz w:val="32"/>
          <w:szCs w:val="32"/>
        </w:rPr>
        <w:t>未出现偏离绩效目标的情况</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i w:val="0"/>
          <w:caps w:val="0"/>
          <w:color w:val="auto"/>
          <w:spacing w:val="0"/>
          <w:sz w:val="32"/>
          <w:szCs w:val="32"/>
          <w:shd w:val="clear" w:color="auto" w:fill="FFFFFF"/>
          <w:lang w:eastAsia="zh-CN"/>
        </w:rPr>
        <w:t>在后续的工作开展中，严格按照实施方案执行项目，做到认真负责，与行业部门共同加强监管，</w:t>
      </w:r>
      <w:r>
        <w:rPr>
          <w:rFonts w:hint="default" w:ascii="Times New Roman" w:hAnsi="Times New Roman" w:eastAsia="仿宋_GB2312" w:cs="Times New Roman"/>
          <w:i w:val="0"/>
          <w:caps w:val="0"/>
          <w:color w:val="auto"/>
          <w:spacing w:val="0"/>
          <w:sz w:val="32"/>
          <w:szCs w:val="32"/>
          <w:shd w:val="clear" w:color="auto" w:fill="FFFFFF"/>
          <w:lang w:val="en-US" w:eastAsia="zh-CN"/>
        </w:rPr>
        <w:t>确保资产得到有效使用。</w:t>
      </w:r>
    </w:p>
    <w:p>
      <w:pPr>
        <w:keepNext w:val="0"/>
        <w:keepLines w:val="0"/>
        <w:pageBreakBefore w:val="0"/>
        <w:kinsoku/>
        <w:wordWrap/>
        <w:overflowPunct/>
        <w:topLinePunct w:val="0"/>
        <w:autoSpaceDE/>
        <w:autoSpaceDN/>
        <w:bidi w:val="0"/>
        <w:adjustRightInd/>
        <w:snapToGrid/>
        <w:spacing w:line="54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p>
    <w:p>
      <w:pPr>
        <w:keepNext w:val="0"/>
        <w:keepLines w:val="0"/>
        <w:pageBreakBefore w:val="0"/>
        <w:kinsoku/>
        <w:wordWrap/>
        <w:overflowPunct/>
        <w:topLinePunct w:val="0"/>
        <w:autoSpaceDE/>
        <w:autoSpaceDN/>
        <w:bidi w:val="0"/>
        <w:adjustRightInd/>
        <w:snapToGrid/>
        <w:spacing w:line="54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lang w:eastAsia="zh-CN"/>
        </w:rPr>
        <w:t>江华瑶族自治县农业农村</w:t>
      </w:r>
      <w:r>
        <w:rPr>
          <w:rFonts w:hint="default" w:ascii="Times New Roman" w:hAnsi="Times New Roman" w:eastAsia="仿宋_GB2312" w:cs="Times New Roman"/>
          <w:sz w:val="32"/>
          <w:szCs w:val="32"/>
        </w:rPr>
        <w:t>局</w:t>
      </w:r>
    </w:p>
    <w:p>
      <w:pPr>
        <w:keepNext w:val="0"/>
        <w:keepLines w:val="0"/>
        <w:pageBreakBefore w:val="0"/>
        <w:kinsoku/>
        <w:wordWrap/>
        <w:overflowPunct/>
        <w:topLinePunct w:val="0"/>
        <w:autoSpaceDE/>
        <w:autoSpaceDN/>
        <w:bidi w:val="0"/>
        <w:adjustRightInd/>
        <w:snapToGrid/>
        <w:spacing w:line="540" w:lineRule="exact"/>
        <w:ind w:firstLine="4800" w:firstLineChars="15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3NDkzZWY3ZWVlMmI3NjFiY2UzNjNmMjhmZGNmMTcifQ=="/>
  </w:docVars>
  <w:rsids>
    <w:rsidRoot w:val="00000000"/>
    <w:rsid w:val="040C3F8D"/>
    <w:rsid w:val="0C25027D"/>
    <w:rsid w:val="0C895D43"/>
    <w:rsid w:val="19B8576E"/>
    <w:rsid w:val="24197796"/>
    <w:rsid w:val="27AD0D41"/>
    <w:rsid w:val="2F5E78CC"/>
    <w:rsid w:val="31280191"/>
    <w:rsid w:val="39430C4F"/>
    <w:rsid w:val="3A106036"/>
    <w:rsid w:val="43315EE4"/>
    <w:rsid w:val="445B0426"/>
    <w:rsid w:val="49A109A4"/>
    <w:rsid w:val="4D987442"/>
    <w:rsid w:val="5AA65364"/>
    <w:rsid w:val="75BB2563"/>
    <w:rsid w:val="771D53B5"/>
    <w:rsid w:val="7FE355DF"/>
    <w:rsid w:val="F1FF694D"/>
    <w:rsid w:val="FDFF02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next w:val="4"/>
    <w:qFormat/>
    <w:uiPriority w:val="0"/>
    <w:pPr>
      <w:ind w:left="420" w:leftChars="200"/>
    </w:pPr>
    <w:rPr>
      <w:rFonts w:ascii="Times New Roman" w:hAnsi="Times New Roman"/>
      <w:szCs w:val="21"/>
    </w:rPr>
  </w:style>
  <w:style w:type="paragraph" w:styleId="4">
    <w:name w:val="Normal Indent"/>
    <w:basedOn w:val="1"/>
    <w:qFormat/>
    <w:uiPriority w:val="0"/>
    <w:pPr>
      <w:ind w:firstLine="420" w:firstLineChars="200"/>
    </w:pPr>
    <w:rPr>
      <w:rFonts w:ascii="Calibri" w:hAnsi="Calibri" w:eastAsia="仿宋"/>
      <w:sz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981</Words>
  <Characters>1071</Characters>
  <Lines>0</Lines>
  <Paragraphs>0</Paragraphs>
  <TotalTime>0</TotalTime>
  <ScaleCrop>false</ScaleCrop>
  <LinksUpToDate>false</LinksUpToDate>
  <CharactersWithSpaces>1099</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2024-09-10T00:19:00Z</dcterms:created>
  <dc:creator>Administrator</dc:creator>
  <cp:lastModifiedBy>Administrator</cp:lastModifiedBy>
  <cp:lastPrinted>2024-09-10T01:05:00Z</cp:lastPrinted>
  <dcterms:modified xsi:type="dcterms:W3CDTF">2025-05-15T01:57:06Z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EB39A00A59C4495087869EB2FE4579E6_13</vt:lpwstr>
  </property>
</Properties>
</file>